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6EC4" w14:textId="43445D37" w:rsidR="005C1BF8" w:rsidRPr="004155F2" w:rsidRDefault="005C1BF8" w:rsidP="005C1BF8">
      <w:pPr>
        <w:rPr>
          <w:b/>
          <w:bCs/>
        </w:rPr>
      </w:pPr>
      <w:r w:rsidRPr="004155F2">
        <w:rPr>
          <w:b/>
          <w:bCs/>
          <w:highlight w:val="yellow"/>
        </w:rPr>
        <w:t>Instructions to societies: replace the highlighted text with the appropriate information such as your society name or TIPS code. Be sure to delete these instructions, too!</w:t>
      </w:r>
    </w:p>
    <w:p w14:paraId="1E191EE8" w14:textId="77777777" w:rsidR="005C1BF8" w:rsidRDefault="005C1BF8" w:rsidP="00AB24CC">
      <w:pPr>
        <w:rPr>
          <w:b/>
          <w:bCs/>
        </w:rPr>
      </w:pPr>
    </w:p>
    <w:p w14:paraId="13497A2C" w14:textId="62571F08" w:rsidR="00AB24CC" w:rsidRDefault="0064237F" w:rsidP="00AB24CC">
      <w:pPr>
        <w:rPr>
          <w:b/>
          <w:bCs/>
        </w:rPr>
      </w:pPr>
      <w:r>
        <w:rPr>
          <w:b/>
          <w:bCs/>
        </w:rPr>
        <w:t>The</w:t>
      </w:r>
      <w:r w:rsidR="00AB24CC" w:rsidRPr="002722BE">
        <w:rPr>
          <w:b/>
          <w:bCs/>
        </w:rPr>
        <w:t xml:space="preserve"> solution to your brick wall might be here!</w:t>
      </w:r>
    </w:p>
    <w:p w14:paraId="04E0AF72" w14:textId="6850E2F4" w:rsidR="00AB24CC" w:rsidRPr="00AB24CC" w:rsidRDefault="00AB24CC" w:rsidP="001A5ED5">
      <w:pPr>
        <w:ind w:left="720" w:hanging="720"/>
        <w:rPr>
          <w:bCs/>
        </w:rPr>
      </w:pPr>
      <w:r>
        <w:rPr>
          <w:bCs/>
        </w:rPr>
        <w:t>The 202</w:t>
      </w:r>
      <w:r w:rsidR="0064237F">
        <w:rPr>
          <w:bCs/>
        </w:rPr>
        <w:t>4</w:t>
      </w:r>
      <w:r>
        <w:rPr>
          <w:bCs/>
        </w:rPr>
        <w:t xml:space="preserve"> TxSGS Family History Conference features a host of resources for genealogists from beginning to advanced. Check out the </w:t>
      </w:r>
      <w:r w:rsidRPr="001A5ED5">
        <w:rPr>
          <w:bCs/>
        </w:rPr>
        <w:t>speakers and topics</w:t>
      </w:r>
      <w:r w:rsidR="001A5ED5">
        <w:rPr>
          <w:bCs/>
        </w:rPr>
        <w:t xml:space="preserve">  </w:t>
      </w:r>
      <w:hyperlink r:id="rId5" w:history="1">
        <w:r w:rsidR="0064237F" w:rsidRPr="00820AD8">
          <w:rPr>
            <w:rStyle w:val="Hyperlink"/>
          </w:rPr>
          <w:t>https://www.txsgs.org/2024-conference/2024-conference-2/</w:t>
        </w:r>
      </w:hyperlink>
      <w:r w:rsidR="0064237F">
        <w:t xml:space="preserve"> </w:t>
      </w:r>
      <w:r>
        <w:rPr>
          <w:bCs/>
        </w:rPr>
        <w:t>to see which ones will help you with your family history research!</w:t>
      </w:r>
    </w:p>
    <w:p w14:paraId="45D82675" w14:textId="77777777" w:rsidR="0064237F" w:rsidRPr="0064237F" w:rsidRDefault="0064237F" w:rsidP="0064237F">
      <w:pPr>
        <w:pStyle w:val="ListParagraph"/>
        <w:numPr>
          <w:ilvl w:val="0"/>
          <w:numId w:val="3"/>
        </w:numPr>
        <w:spacing w:before="300" w:after="100"/>
        <w:rPr>
          <w:rFonts w:ascii="Times New Roman" w:eastAsia="Times New Roman" w:hAnsi="Times New Roman" w:cs="Times New Roman"/>
        </w:rPr>
      </w:pPr>
      <w:r w:rsidRPr="0064237F">
        <w:rPr>
          <w:rFonts w:ascii="Times New Roman" w:eastAsia="Times New Roman" w:hAnsi="Times New Roman" w:cs="Times New Roman"/>
          <w:b/>
          <w:bCs/>
        </w:rPr>
        <w:t>Artificial Intelligence:</w:t>
      </w:r>
      <w:r w:rsidRPr="0064237F">
        <w:rPr>
          <w:rFonts w:ascii="Times New Roman" w:eastAsia="Times New Roman" w:hAnsi="Times New Roman" w:cs="Times New Roman"/>
        </w:rPr>
        <w:t xml:space="preserve"> Explore the intersection of genealogy and artificial intelligence as you discover how AI is transforming the field of family history research. From automated record transcription and indexing to predictive analytics and record matching algorithms, this track showcases the latest advancements in AI-driven genealogical tools and technologies. Learn how AI can streamline your research process, uncover new connections, and unlock hidden insights in your family tree.</w:t>
      </w:r>
    </w:p>
    <w:p w14:paraId="10483B5C" w14:textId="77777777" w:rsidR="0064237F" w:rsidRPr="0064237F" w:rsidRDefault="0064237F" w:rsidP="0064237F">
      <w:pPr>
        <w:pStyle w:val="ListParagraph"/>
        <w:numPr>
          <w:ilvl w:val="0"/>
          <w:numId w:val="3"/>
        </w:numPr>
        <w:spacing w:before="360" w:after="300"/>
        <w:rPr>
          <w:rFonts w:ascii="Times New Roman" w:eastAsia="Times New Roman" w:hAnsi="Times New Roman" w:cs="Times New Roman"/>
        </w:rPr>
      </w:pPr>
      <w:r w:rsidRPr="0064237F">
        <w:rPr>
          <w:rFonts w:ascii="Times New Roman" w:eastAsia="Times New Roman" w:hAnsi="Times New Roman" w:cs="Times New Roman"/>
          <w:b/>
          <w:bCs/>
        </w:rPr>
        <w:t>DNA:</w:t>
      </w:r>
      <w:r w:rsidRPr="0064237F">
        <w:rPr>
          <w:rFonts w:ascii="Times New Roman" w:eastAsia="Times New Roman" w:hAnsi="Times New Roman" w:cs="Times New Roman"/>
        </w:rPr>
        <w:t xml:space="preserve"> Unravel the mysteries of your genetic heritage with expert insights into DNA testing and analysis. This track offers a comprehensive exploration of genetic genealogy by examining ways to use different types of DNA to leverage advanced techniques for identifying genetic matches. Whether you're just starting your DNA journey or seeking to refine your skills, these sessions provide invaluable guidance for tracing your ancestry through DNA.</w:t>
      </w:r>
    </w:p>
    <w:p w14:paraId="3E19FEA1" w14:textId="77777777" w:rsidR="0064237F" w:rsidRPr="0064237F" w:rsidRDefault="0064237F" w:rsidP="0064237F">
      <w:pPr>
        <w:pStyle w:val="ListParagraph"/>
        <w:numPr>
          <w:ilvl w:val="0"/>
          <w:numId w:val="3"/>
        </w:numPr>
        <w:spacing w:before="300" w:after="300"/>
        <w:rPr>
          <w:rFonts w:ascii="Times New Roman" w:eastAsia="Times New Roman" w:hAnsi="Times New Roman" w:cs="Times New Roman"/>
        </w:rPr>
      </w:pPr>
      <w:r w:rsidRPr="0064237F">
        <w:rPr>
          <w:rFonts w:ascii="Times New Roman" w:eastAsia="Times New Roman" w:hAnsi="Times New Roman" w:cs="Times New Roman"/>
          <w:b/>
          <w:bCs/>
        </w:rPr>
        <w:t>Ethnic</w:t>
      </w:r>
      <w:r w:rsidRPr="0064237F">
        <w:rPr>
          <w:rFonts w:ascii="Times New Roman" w:eastAsia="Times New Roman" w:hAnsi="Times New Roman" w:cs="Times New Roman"/>
        </w:rPr>
        <w:t>: Embark on a journey of cultural discovery as you explore the diverse heritage of your ancestors. This track delves into the unique research challenges and resources associated with different ethnic groups including African American, Hispanic, and Irish. Uncover strategies for tracing your family's migration paths, identifying ancestral homelands, and preserving cultural traditions through genealogical research.</w:t>
      </w:r>
    </w:p>
    <w:p w14:paraId="064A47E6" w14:textId="77777777" w:rsidR="0064237F" w:rsidRPr="0064237F" w:rsidRDefault="0064237F" w:rsidP="0064237F">
      <w:pPr>
        <w:pStyle w:val="ListParagraph"/>
        <w:numPr>
          <w:ilvl w:val="0"/>
          <w:numId w:val="3"/>
        </w:numPr>
        <w:spacing w:before="300" w:after="300"/>
        <w:rPr>
          <w:rFonts w:ascii="Times New Roman" w:eastAsia="Times New Roman" w:hAnsi="Times New Roman" w:cs="Times New Roman"/>
        </w:rPr>
      </w:pPr>
      <w:r w:rsidRPr="0064237F">
        <w:rPr>
          <w:rFonts w:ascii="Times New Roman" w:eastAsia="Times New Roman" w:hAnsi="Times New Roman" w:cs="Times New Roman"/>
          <w:b/>
          <w:bCs/>
        </w:rPr>
        <w:t>Methodology</w:t>
      </w:r>
      <w:r w:rsidRPr="0064237F">
        <w:rPr>
          <w:rFonts w:ascii="Times New Roman" w:eastAsia="Times New Roman" w:hAnsi="Times New Roman" w:cs="Times New Roman"/>
        </w:rPr>
        <w:t>: Master the art and science of genealogical research with sessions focused on effective research methodologies. Learn proven strategies for analyzing records, resolving research challenges, and documenting your family history. Whether you're investigating female ancestors, navigating urban genealogy, or honing your research writing skills, these sessions provide practical tools and techniques to enhance your genealogical journey.</w:t>
      </w:r>
    </w:p>
    <w:p w14:paraId="6AB4FB20" w14:textId="77777777" w:rsidR="0064237F" w:rsidRPr="0064237F" w:rsidRDefault="0064237F" w:rsidP="0064237F">
      <w:pPr>
        <w:pStyle w:val="ListParagraph"/>
        <w:numPr>
          <w:ilvl w:val="0"/>
          <w:numId w:val="3"/>
        </w:numPr>
        <w:spacing w:before="300" w:after="300"/>
        <w:rPr>
          <w:rFonts w:ascii="Times New Roman" w:eastAsia="Times New Roman" w:hAnsi="Times New Roman" w:cs="Times New Roman"/>
        </w:rPr>
      </w:pPr>
      <w:r w:rsidRPr="0064237F">
        <w:rPr>
          <w:rFonts w:ascii="Times New Roman" w:eastAsia="Times New Roman" w:hAnsi="Times New Roman" w:cs="Times New Roman"/>
          <w:b/>
          <w:bCs/>
        </w:rPr>
        <w:t>Records &amp; Resources</w:t>
      </w:r>
      <w:r w:rsidRPr="0064237F">
        <w:rPr>
          <w:rFonts w:ascii="Times New Roman" w:eastAsia="Times New Roman" w:hAnsi="Times New Roman" w:cs="Times New Roman"/>
        </w:rPr>
        <w:t>: Unlock the wealth of genealogical information hidden within historical records and repositories. Explore a diverse array of records, from land deeds and tax records to religious documents and voting registers. Discover strategies for accessing and interpreting genealogical sources and gain the skills to navigate archives and repositories with confidence.</w:t>
      </w:r>
    </w:p>
    <w:p w14:paraId="3C12D9C9" w14:textId="77777777" w:rsidR="0064237F" w:rsidRPr="0064237F" w:rsidRDefault="0064237F" w:rsidP="0064237F">
      <w:pPr>
        <w:pStyle w:val="ListParagraph"/>
        <w:numPr>
          <w:ilvl w:val="0"/>
          <w:numId w:val="3"/>
        </w:numPr>
        <w:spacing w:before="300" w:after="300"/>
        <w:rPr>
          <w:rFonts w:ascii="Times New Roman" w:eastAsia="Times New Roman" w:hAnsi="Times New Roman" w:cs="Times New Roman"/>
        </w:rPr>
      </w:pPr>
      <w:r w:rsidRPr="0064237F">
        <w:rPr>
          <w:rFonts w:ascii="Times New Roman" w:eastAsia="Times New Roman" w:hAnsi="Times New Roman" w:cs="Times New Roman"/>
          <w:b/>
          <w:bCs/>
        </w:rPr>
        <w:t>Technology</w:t>
      </w:r>
      <w:r w:rsidRPr="0064237F">
        <w:rPr>
          <w:rFonts w:ascii="Times New Roman" w:eastAsia="Times New Roman" w:hAnsi="Times New Roman" w:cs="Times New Roman"/>
        </w:rPr>
        <w:t>: Harness the power of technology to revolutionize your genealogical research. From utilizing online databases and search tools to leveraging mapping software and social media platforms, this track explores innovative ways to uncover and share your family history. Learn how to optimize your research workflow, collaborate with other researchers, and preserve your findings for future generations using cutting-edge digital tools and techniques.</w:t>
      </w:r>
    </w:p>
    <w:p w14:paraId="10A69FA2" w14:textId="3ED1CBB8" w:rsidR="00AB24CC" w:rsidRDefault="00AB24CC" w:rsidP="00AB24CC">
      <w:pPr>
        <w:rPr>
          <w:b/>
          <w:bCs/>
        </w:rPr>
      </w:pPr>
    </w:p>
    <w:p w14:paraId="6346CB1D" w14:textId="2C4071BB" w:rsidR="00AB24CC" w:rsidRDefault="00AB24CC" w:rsidP="00AB24CC">
      <w:r w:rsidRPr="002722BE">
        <w:lastRenderedPageBreak/>
        <w:t xml:space="preserve">Watch for more information about </w:t>
      </w:r>
      <w:r>
        <w:t xml:space="preserve">extra </w:t>
      </w:r>
      <w:r w:rsidRPr="002722BE">
        <w:t xml:space="preserve">bonus sessions </w:t>
      </w:r>
      <w:r>
        <w:t xml:space="preserve">available free to all </w:t>
      </w:r>
      <w:r w:rsidR="00F2200A">
        <w:t xml:space="preserve">registrants </w:t>
      </w:r>
      <w:r w:rsidRPr="002722BE">
        <w:t>and the Virtual Expo Hall.</w:t>
      </w:r>
    </w:p>
    <w:p w14:paraId="2DEAF965" w14:textId="77777777" w:rsidR="00AB24CC" w:rsidRDefault="00AB24CC" w:rsidP="00AB24CC"/>
    <w:p w14:paraId="2A6E53B6" w14:textId="1BB8C3E7" w:rsidR="00AB24CC" w:rsidRPr="00AB24CC" w:rsidRDefault="00AB24CC" w:rsidP="00AB24CC">
      <w:pPr>
        <w:rPr>
          <w:b/>
          <w:bCs/>
        </w:rPr>
      </w:pPr>
      <w:r w:rsidRPr="00AB24CC">
        <w:rPr>
          <w:b/>
          <w:bCs/>
        </w:rPr>
        <w:t>Choose from</w:t>
      </w:r>
      <w:r w:rsidR="0064237F">
        <w:rPr>
          <w:b/>
          <w:bCs/>
        </w:rPr>
        <w:t xml:space="preserve"> 2</w:t>
      </w:r>
      <w:r w:rsidRPr="00AB24CC">
        <w:rPr>
          <w:b/>
          <w:bCs/>
        </w:rPr>
        <w:t xml:space="preserve"> exciting packages!</w:t>
      </w:r>
    </w:p>
    <w:p w14:paraId="122566CF" w14:textId="77777777" w:rsidR="0064237F" w:rsidRDefault="0064237F" w:rsidP="0064237F">
      <w:pPr>
        <w:rPr>
          <w:bCs/>
        </w:rPr>
      </w:pPr>
      <w:r w:rsidRPr="00765337">
        <w:br/>
      </w:r>
      <w:r>
        <w:rPr>
          <w:b/>
          <w:bCs/>
        </w:rPr>
        <w:t>TxSGS All Access</w:t>
      </w:r>
      <w:r w:rsidRPr="00765337">
        <w:rPr>
          <w:b/>
          <w:bCs/>
        </w:rPr>
        <w:t xml:space="preserve">: </w:t>
      </w:r>
      <w:r>
        <w:t>All live sessions plus all 31 pre-recorded sessions and several bonus session; more than 45</w:t>
      </w:r>
      <w:r w:rsidRPr="00765337">
        <w:t xml:space="preserve"> sessions in all!</w:t>
      </w:r>
      <w:r>
        <w:t xml:space="preserve"> Includes access to Virtual Expo Hall and online Community through February 2, 2025.</w:t>
      </w:r>
      <w:r w:rsidRPr="00765337">
        <w:br/>
      </w:r>
      <w:r w:rsidRPr="001179A8">
        <w:rPr>
          <w:b/>
          <w:bCs/>
          <w:i/>
          <w:iCs/>
        </w:rPr>
        <w:t>TxSGS Live!</w:t>
      </w:r>
      <w:r>
        <w:rPr>
          <w:b/>
          <w:bCs/>
        </w:rPr>
        <w:t>:</w:t>
      </w:r>
      <w:r w:rsidRPr="00765337">
        <w:rPr>
          <w:b/>
          <w:bCs/>
        </w:rPr>
        <w:t xml:space="preserve"> </w:t>
      </w:r>
      <w:r w:rsidRPr="00765337">
        <w:t xml:space="preserve">All live sessions </w:t>
      </w:r>
      <w:r>
        <w:t>on November 1-2, 2024, plus on-demand access to replays of these recordings through February 2, 2025.</w:t>
      </w:r>
      <w:r w:rsidRPr="00765337">
        <w:br/>
      </w:r>
      <w:r w:rsidRPr="00765337">
        <w:br/>
      </w:r>
      <w:r w:rsidRPr="0070681E">
        <w:rPr>
          <w:bCs/>
        </w:rPr>
        <w:t xml:space="preserve">See </w:t>
      </w:r>
      <w:hyperlink r:id="rId6" w:history="1">
        <w:r w:rsidRPr="001179A8">
          <w:rPr>
            <w:rStyle w:val="Hyperlink"/>
            <w:bCs/>
          </w:rPr>
          <w:t>https://www.txsgs.org/2024-conference/2024-conference-2/</w:t>
        </w:r>
        <w:r>
          <w:rPr>
            <w:rStyle w:val="Hyperlink"/>
            <w:bCs/>
          </w:rPr>
          <w:t xml:space="preserve"> </w:t>
        </w:r>
      </w:hyperlink>
      <w:r w:rsidRPr="0070681E">
        <w:rPr>
          <w:bCs/>
        </w:rPr>
        <w:t xml:space="preserve"> to learn more about speakers, topics, and conference packages.</w:t>
      </w:r>
    </w:p>
    <w:p w14:paraId="43A99E2B" w14:textId="77777777" w:rsidR="00AB24CC" w:rsidRDefault="00AB24CC" w:rsidP="00AB24CC">
      <w:pPr>
        <w:rPr>
          <w:b/>
          <w:bCs/>
        </w:rPr>
      </w:pPr>
    </w:p>
    <w:p w14:paraId="5D25A76B" w14:textId="1091DA9D" w:rsidR="00AB24CC" w:rsidRPr="00AB24CC" w:rsidRDefault="00AB24CC" w:rsidP="00AB24CC">
      <w:pPr>
        <w:rPr>
          <w:b/>
          <w:bCs/>
        </w:rPr>
      </w:pPr>
      <w:r>
        <w:rPr>
          <w:b/>
          <w:bCs/>
        </w:rPr>
        <w:t xml:space="preserve">Register for the Conference and Support </w:t>
      </w:r>
      <w:r w:rsidR="009D1451" w:rsidRPr="009D1451">
        <w:rPr>
          <w:b/>
          <w:bCs/>
          <w:highlight w:val="yellow"/>
        </w:rPr>
        <w:t>[Insert your society name here]</w:t>
      </w:r>
      <w:r>
        <w:rPr>
          <w:b/>
          <w:bCs/>
        </w:rPr>
        <w:t xml:space="preserve"> at the same time!</w:t>
      </w:r>
    </w:p>
    <w:p w14:paraId="08949EDF" w14:textId="258B6016" w:rsidR="00AB24CC" w:rsidRDefault="00AB24CC" w:rsidP="00AB24CC">
      <w:pPr>
        <w:rPr>
          <w:bCs/>
        </w:rPr>
      </w:pPr>
      <w:r w:rsidRPr="00AB24CC">
        <w:rPr>
          <w:bCs/>
        </w:rPr>
        <w:t xml:space="preserve">Register for either the Standard or All-in-One package </w:t>
      </w:r>
      <w:r w:rsidR="009D1451">
        <w:rPr>
          <w:bCs/>
        </w:rPr>
        <w:t>on or before</w:t>
      </w:r>
      <w:r w:rsidR="00AB0BEE">
        <w:rPr>
          <w:bCs/>
        </w:rPr>
        <w:t xml:space="preserve"> </w:t>
      </w:r>
      <w:r w:rsidR="00C24B9A">
        <w:rPr>
          <w:bCs/>
        </w:rPr>
        <w:t>October 3</w:t>
      </w:r>
      <w:r w:rsidR="009D1451">
        <w:rPr>
          <w:bCs/>
        </w:rPr>
        <w:t>0</w:t>
      </w:r>
      <w:r w:rsidR="00AB0BEE" w:rsidRPr="00C24B9A">
        <w:rPr>
          <w:bCs/>
        </w:rPr>
        <w:t>, 202</w:t>
      </w:r>
      <w:r w:rsidR="0064237F">
        <w:rPr>
          <w:bCs/>
        </w:rPr>
        <w:t>4</w:t>
      </w:r>
      <w:r w:rsidR="00AB0BEE" w:rsidRPr="00C24B9A">
        <w:rPr>
          <w:bCs/>
        </w:rPr>
        <w:t>,</w:t>
      </w:r>
      <w:r w:rsidRPr="00C24B9A">
        <w:rPr>
          <w:bCs/>
        </w:rPr>
        <w:t xml:space="preserve"> and use our TIPS</w:t>
      </w:r>
      <w:r w:rsidRPr="00AB24CC">
        <w:rPr>
          <w:bCs/>
        </w:rPr>
        <w:t xml:space="preserve"> code </w:t>
      </w:r>
      <w:r w:rsidRPr="005C1BF8">
        <w:rPr>
          <w:bCs/>
          <w:highlight w:val="yellow"/>
        </w:rPr>
        <w:t>[your TIPS code here]</w:t>
      </w:r>
      <w:r w:rsidRPr="00AB24CC">
        <w:rPr>
          <w:bCs/>
        </w:rPr>
        <w:t>.</w:t>
      </w:r>
      <w:r w:rsidR="005C1BF8">
        <w:rPr>
          <w:bCs/>
        </w:rPr>
        <w:t>*</w:t>
      </w:r>
      <w:r w:rsidRPr="00AB24CC">
        <w:rPr>
          <w:bCs/>
        </w:rPr>
        <w:t xml:space="preserve"> You’ll get all the benefits of attending a conference: great lectures, access to the Virtual Expo Hall, on-demand access through </w:t>
      </w:r>
      <w:r w:rsidR="001F31E5">
        <w:rPr>
          <w:bCs/>
        </w:rPr>
        <w:t xml:space="preserve">February </w:t>
      </w:r>
      <w:r w:rsidR="0064237F">
        <w:rPr>
          <w:bCs/>
        </w:rPr>
        <w:t>2</w:t>
      </w:r>
      <w:r w:rsidR="00772357">
        <w:rPr>
          <w:bCs/>
        </w:rPr>
        <w:t>, 202</w:t>
      </w:r>
      <w:r w:rsidR="0064237F">
        <w:rPr>
          <w:bCs/>
        </w:rPr>
        <w:t>5</w:t>
      </w:r>
      <w:r w:rsidRPr="00AB24CC">
        <w:rPr>
          <w:bCs/>
        </w:rPr>
        <w:t xml:space="preserve">, and more! </w:t>
      </w:r>
      <w:r w:rsidRPr="005C1BF8">
        <w:rPr>
          <w:bCs/>
          <w:highlight w:val="yellow"/>
        </w:rPr>
        <w:t>[Your society name here]</w:t>
      </w:r>
      <w:r w:rsidRPr="00AB24CC">
        <w:rPr>
          <w:bCs/>
        </w:rPr>
        <w:t xml:space="preserve"> will get a $10 donation from TxSGS. You can support </w:t>
      </w:r>
      <w:r w:rsidRPr="005C1BF8">
        <w:rPr>
          <w:bCs/>
          <w:highlight w:val="yellow"/>
        </w:rPr>
        <w:t>[your society name here]</w:t>
      </w:r>
      <w:r w:rsidRPr="00AB24CC">
        <w:rPr>
          <w:bCs/>
        </w:rPr>
        <w:t xml:space="preserve"> and maybe even discover the key to breaking down your brick</w:t>
      </w:r>
      <w:r>
        <w:rPr>
          <w:bCs/>
        </w:rPr>
        <w:t xml:space="preserve"> wall!</w:t>
      </w:r>
    </w:p>
    <w:p w14:paraId="1ACEBE6B" w14:textId="77777777" w:rsidR="005C1BF8" w:rsidRDefault="005C1BF8" w:rsidP="00AB24CC">
      <w:pPr>
        <w:rPr>
          <w:bCs/>
        </w:rPr>
      </w:pPr>
    </w:p>
    <w:p w14:paraId="086BE0D9" w14:textId="467C6638" w:rsidR="005C1BF8" w:rsidRPr="00AB24CC" w:rsidRDefault="005C1BF8" w:rsidP="00AB24CC">
      <w:r>
        <w:t>*The TIPS code must be entered at the time of registration.</w:t>
      </w:r>
    </w:p>
    <w:sectPr w:rsidR="005C1BF8" w:rsidRPr="00AB24CC" w:rsidSect="008F0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61CD8"/>
    <w:multiLevelType w:val="multilevel"/>
    <w:tmpl w:val="619A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E62D3"/>
    <w:multiLevelType w:val="multilevel"/>
    <w:tmpl w:val="2EC0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B0BB5"/>
    <w:multiLevelType w:val="hybridMultilevel"/>
    <w:tmpl w:val="4FE2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06523">
    <w:abstractNumId w:val="0"/>
  </w:num>
  <w:num w:numId="2" w16cid:durableId="1162742439">
    <w:abstractNumId w:val="1"/>
  </w:num>
  <w:num w:numId="3" w16cid:durableId="1532064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BE"/>
    <w:rsid w:val="000B4C65"/>
    <w:rsid w:val="001A5ED5"/>
    <w:rsid w:val="001F31E5"/>
    <w:rsid w:val="002722BE"/>
    <w:rsid w:val="005C1BF8"/>
    <w:rsid w:val="005F0A0B"/>
    <w:rsid w:val="0064237F"/>
    <w:rsid w:val="00645A9A"/>
    <w:rsid w:val="00772357"/>
    <w:rsid w:val="00836D52"/>
    <w:rsid w:val="008F0DA0"/>
    <w:rsid w:val="009D1451"/>
    <w:rsid w:val="00AB0BEE"/>
    <w:rsid w:val="00AB24CC"/>
    <w:rsid w:val="00C24B9A"/>
    <w:rsid w:val="00C56C3C"/>
    <w:rsid w:val="00F22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E7BC"/>
  <w15:chartTrackingRefBased/>
  <w15:docId w15:val="{C08BC24D-EBDA-0D49-861F-4254961C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2BE"/>
    <w:rPr>
      <w:color w:val="0563C1" w:themeColor="hyperlink"/>
      <w:u w:val="single"/>
    </w:rPr>
  </w:style>
  <w:style w:type="character" w:styleId="UnresolvedMention">
    <w:name w:val="Unresolved Mention"/>
    <w:basedOn w:val="DefaultParagraphFont"/>
    <w:uiPriority w:val="99"/>
    <w:semiHidden/>
    <w:unhideWhenUsed/>
    <w:rsid w:val="002722BE"/>
    <w:rPr>
      <w:color w:val="808080"/>
      <w:shd w:val="clear" w:color="auto" w:fill="E6E6E6"/>
    </w:rPr>
  </w:style>
  <w:style w:type="paragraph" w:styleId="BalloonText">
    <w:name w:val="Balloon Text"/>
    <w:basedOn w:val="Normal"/>
    <w:link w:val="BalloonTextChar"/>
    <w:uiPriority w:val="99"/>
    <w:semiHidden/>
    <w:unhideWhenUsed/>
    <w:rsid w:val="005C1B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1BF8"/>
    <w:rPr>
      <w:rFonts w:ascii="Times New Roman" w:hAnsi="Times New Roman" w:cs="Times New Roman"/>
      <w:sz w:val="18"/>
      <w:szCs w:val="18"/>
    </w:rPr>
  </w:style>
  <w:style w:type="character" w:styleId="Emphasis">
    <w:name w:val="Emphasis"/>
    <w:basedOn w:val="DefaultParagraphFont"/>
    <w:uiPriority w:val="20"/>
    <w:qFormat/>
    <w:rsid w:val="00645A9A"/>
    <w:rPr>
      <w:i/>
      <w:iCs/>
    </w:rPr>
  </w:style>
  <w:style w:type="paragraph" w:styleId="ListParagraph">
    <w:name w:val="List Paragraph"/>
    <w:basedOn w:val="Normal"/>
    <w:uiPriority w:val="34"/>
    <w:qFormat/>
    <w:rsid w:val="00642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45186">
      <w:bodyDiv w:val="1"/>
      <w:marLeft w:val="0"/>
      <w:marRight w:val="0"/>
      <w:marTop w:val="0"/>
      <w:marBottom w:val="0"/>
      <w:divBdr>
        <w:top w:val="none" w:sz="0" w:space="0" w:color="auto"/>
        <w:left w:val="none" w:sz="0" w:space="0" w:color="auto"/>
        <w:bottom w:val="none" w:sz="0" w:space="0" w:color="auto"/>
        <w:right w:val="none" w:sz="0" w:space="0" w:color="auto"/>
      </w:divBdr>
    </w:div>
    <w:div w:id="423957941">
      <w:bodyDiv w:val="1"/>
      <w:marLeft w:val="0"/>
      <w:marRight w:val="0"/>
      <w:marTop w:val="0"/>
      <w:marBottom w:val="0"/>
      <w:divBdr>
        <w:top w:val="none" w:sz="0" w:space="0" w:color="auto"/>
        <w:left w:val="none" w:sz="0" w:space="0" w:color="auto"/>
        <w:bottom w:val="none" w:sz="0" w:space="0" w:color="auto"/>
        <w:right w:val="none" w:sz="0" w:space="0" w:color="auto"/>
      </w:divBdr>
    </w:div>
    <w:div w:id="537354048">
      <w:bodyDiv w:val="1"/>
      <w:marLeft w:val="0"/>
      <w:marRight w:val="0"/>
      <w:marTop w:val="0"/>
      <w:marBottom w:val="0"/>
      <w:divBdr>
        <w:top w:val="none" w:sz="0" w:space="0" w:color="auto"/>
        <w:left w:val="none" w:sz="0" w:space="0" w:color="auto"/>
        <w:bottom w:val="none" w:sz="0" w:space="0" w:color="auto"/>
        <w:right w:val="none" w:sz="0" w:space="0" w:color="auto"/>
      </w:divBdr>
    </w:div>
    <w:div w:id="721976275">
      <w:bodyDiv w:val="1"/>
      <w:marLeft w:val="0"/>
      <w:marRight w:val="0"/>
      <w:marTop w:val="0"/>
      <w:marBottom w:val="0"/>
      <w:divBdr>
        <w:top w:val="none" w:sz="0" w:space="0" w:color="auto"/>
        <w:left w:val="none" w:sz="0" w:space="0" w:color="auto"/>
        <w:bottom w:val="none" w:sz="0" w:space="0" w:color="auto"/>
        <w:right w:val="none" w:sz="0" w:space="0" w:color="auto"/>
      </w:divBdr>
    </w:div>
    <w:div w:id="762184361">
      <w:bodyDiv w:val="1"/>
      <w:marLeft w:val="0"/>
      <w:marRight w:val="0"/>
      <w:marTop w:val="0"/>
      <w:marBottom w:val="0"/>
      <w:divBdr>
        <w:top w:val="none" w:sz="0" w:space="0" w:color="auto"/>
        <w:left w:val="none" w:sz="0" w:space="0" w:color="auto"/>
        <w:bottom w:val="none" w:sz="0" w:space="0" w:color="auto"/>
        <w:right w:val="none" w:sz="0" w:space="0" w:color="auto"/>
      </w:divBdr>
    </w:div>
    <w:div w:id="875239134">
      <w:bodyDiv w:val="1"/>
      <w:marLeft w:val="0"/>
      <w:marRight w:val="0"/>
      <w:marTop w:val="0"/>
      <w:marBottom w:val="0"/>
      <w:divBdr>
        <w:top w:val="none" w:sz="0" w:space="0" w:color="auto"/>
        <w:left w:val="none" w:sz="0" w:space="0" w:color="auto"/>
        <w:bottom w:val="none" w:sz="0" w:space="0" w:color="auto"/>
        <w:right w:val="none" w:sz="0" w:space="0" w:color="auto"/>
      </w:divBdr>
    </w:div>
    <w:div w:id="947732779">
      <w:bodyDiv w:val="1"/>
      <w:marLeft w:val="0"/>
      <w:marRight w:val="0"/>
      <w:marTop w:val="0"/>
      <w:marBottom w:val="0"/>
      <w:divBdr>
        <w:top w:val="none" w:sz="0" w:space="0" w:color="auto"/>
        <w:left w:val="none" w:sz="0" w:space="0" w:color="auto"/>
        <w:bottom w:val="none" w:sz="0" w:space="0" w:color="auto"/>
        <w:right w:val="none" w:sz="0" w:space="0" w:color="auto"/>
      </w:divBdr>
    </w:div>
    <w:div w:id="1393506850">
      <w:bodyDiv w:val="1"/>
      <w:marLeft w:val="0"/>
      <w:marRight w:val="0"/>
      <w:marTop w:val="0"/>
      <w:marBottom w:val="0"/>
      <w:divBdr>
        <w:top w:val="none" w:sz="0" w:space="0" w:color="auto"/>
        <w:left w:val="none" w:sz="0" w:space="0" w:color="auto"/>
        <w:bottom w:val="none" w:sz="0" w:space="0" w:color="auto"/>
        <w:right w:val="none" w:sz="0" w:space="0" w:color="auto"/>
      </w:divBdr>
    </w:div>
    <w:div w:id="187238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xsgs.org/2023-conference/2023-txsgs-family-history-conference/" TargetMode="External"/><Relationship Id="rId5" Type="http://schemas.openxmlformats.org/officeDocument/2006/relationships/hyperlink" Target="https://www.txsgs.org/2024-conference/2024-conference-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Sandra Crowley</cp:lastModifiedBy>
  <cp:revision>2</cp:revision>
  <dcterms:created xsi:type="dcterms:W3CDTF">2024-07-05T19:44:00Z</dcterms:created>
  <dcterms:modified xsi:type="dcterms:W3CDTF">2024-07-05T19:44:00Z</dcterms:modified>
</cp:coreProperties>
</file>